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609F" w14:textId="216FA80B" w:rsidR="00EA411A" w:rsidRPr="001127A4" w:rsidRDefault="00EA411A" w:rsidP="008F3335">
      <w:pPr>
        <w:rPr>
          <w:sz w:val="48"/>
          <w:szCs w:val="48"/>
        </w:rPr>
      </w:pPr>
      <w:r w:rsidRPr="001127A4">
        <w:rPr>
          <w:noProof/>
        </w:rPr>
        <w:drawing>
          <wp:inline distT="0" distB="0" distL="0" distR="0" wp14:anchorId="4B8DDC2D" wp14:editId="1C4488D6">
            <wp:extent cx="1780166" cy="998269"/>
            <wp:effectExtent l="0" t="0" r="0" b="0"/>
            <wp:docPr id="2" name="Picture 2" descr="RPH Australia colour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HAustralia_logo_high_res_colour.e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88" cy="103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0B63" w14:textId="77777777" w:rsidR="00EA411A" w:rsidRPr="001127A4" w:rsidRDefault="00EA411A" w:rsidP="002C4D38"/>
    <w:p w14:paraId="67661354" w14:textId="538E770D" w:rsidR="00F57F5F" w:rsidRPr="001127A4" w:rsidRDefault="004F5F2C" w:rsidP="002C4D38">
      <w:pPr>
        <w:jc w:val="center"/>
        <w:rPr>
          <w:sz w:val="48"/>
          <w:szCs w:val="48"/>
        </w:rPr>
      </w:pPr>
      <w:r w:rsidRPr="001127A4">
        <w:rPr>
          <w:sz w:val="48"/>
          <w:szCs w:val="48"/>
        </w:rPr>
        <w:t>Memorandum of Understanding</w:t>
      </w:r>
    </w:p>
    <w:p w14:paraId="59CBDAD9" w14:textId="77777777" w:rsidR="004F5F2C" w:rsidRPr="001127A4" w:rsidRDefault="004F5F2C" w:rsidP="002C4D38"/>
    <w:p w14:paraId="53654B42" w14:textId="77777777" w:rsidR="002C4D38" w:rsidRPr="001127A4" w:rsidRDefault="002C4D38" w:rsidP="002C4D38">
      <w:pPr>
        <w:pStyle w:val="CBAA-Sectionheading"/>
        <w:jc w:val="center"/>
        <w:rPr>
          <w:rFonts w:asciiTheme="minorHAnsi" w:hAnsiTheme="minorHAnsi" w:cstheme="minorHAnsi"/>
          <w:sz w:val="28"/>
          <w:szCs w:val="28"/>
        </w:rPr>
      </w:pPr>
      <w:r w:rsidRPr="001127A4">
        <w:rPr>
          <w:rFonts w:asciiTheme="minorHAnsi" w:hAnsiTheme="minorHAnsi" w:cstheme="minorHAnsi"/>
          <w:sz w:val="28"/>
          <w:szCs w:val="28"/>
        </w:rPr>
        <w:t>This document represents an agreement between</w:t>
      </w:r>
    </w:p>
    <w:p w14:paraId="7004F7B8" w14:textId="77777777" w:rsidR="002C4D38" w:rsidRPr="001127A4" w:rsidRDefault="002C4D38" w:rsidP="002C4D38">
      <w:pPr>
        <w:jc w:val="center"/>
        <w:rPr>
          <w:sz w:val="28"/>
          <w:szCs w:val="28"/>
        </w:rPr>
      </w:pPr>
      <w:r w:rsidRPr="001127A4">
        <w:rPr>
          <w:sz w:val="28"/>
          <w:szCs w:val="28"/>
        </w:rPr>
        <w:t>RPH AUSTRALIA CO-OPERATIVE LTD (“RPHA”)</w:t>
      </w:r>
    </w:p>
    <w:p w14:paraId="74F702E9" w14:textId="066FF5F0" w:rsidR="00FE7369" w:rsidRPr="001127A4" w:rsidRDefault="002C4D38" w:rsidP="00CE08FC">
      <w:pPr>
        <w:jc w:val="center"/>
        <w:rPr>
          <w:sz w:val="28"/>
          <w:szCs w:val="28"/>
        </w:rPr>
      </w:pPr>
      <w:r w:rsidRPr="001127A4">
        <w:rPr>
          <w:sz w:val="28"/>
          <w:szCs w:val="28"/>
        </w:rPr>
        <w:t>And</w:t>
      </w:r>
    </w:p>
    <w:p w14:paraId="4337A7D8" w14:textId="547328D6" w:rsidR="00FE7369" w:rsidRPr="001127A4" w:rsidRDefault="00F414F0" w:rsidP="002C4D38">
      <w:pPr>
        <w:jc w:val="center"/>
        <w:rPr>
          <w:i/>
          <w:sz w:val="28"/>
          <w:szCs w:val="28"/>
        </w:rPr>
      </w:pPr>
      <w:r w:rsidRPr="001127A4">
        <w:rPr>
          <w:i/>
          <w:sz w:val="28"/>
          <w:szCs w:val="28"/>
        </w:rPr>
        <w:t>(Station</w:t>
      </w:r>
      <w:r w:rsidR="003A78A9" w:rsidRPr="001127A4">
        <w:rPr>
          <w:i/>
          <w:sz w:val="28"/>
          <w:szCs w:val="28"/>
        </w:rPr>
        <w:t xml:space="preserve"> name)</w:t>
      </w:r>
    </w:p>
    <w:p w14:paraId="492EE568" w14:textId="1D65B378" w:rsidR="00F414F0" w:rsidRPr="001127A4" w:rsidRDefault="002C4D38" w:rsidP="002C4D38">
      <w:pPr>
        <w:jc w:val="center"/>
        <w:rPr>
          <w:i/>
          <w:sz w:val="28"/>
          <w:szCs w:val="28"/>
        </w:rPr>
      </w:pPr>
      <w:r w:rsidRPr="001127A4">
        <w:rPr>
          <w:i/>
          <w:sz w:val="28"/>
          <w:szCs w:val="28"/>
        </w:rPr>
        <w:t>(</w:t>
      </w:r>
      <w:r w:rsidR="00F414F0" w:rsidRPr="001127A4">
        <w:rPr>
          <w:i/>
          <w:sz w:val="28"/>
          <w:szCs w:val="28"/>
        </w:rPr>
        <w:t>Station address)</w:t>
      </w:r>
    </w:p>
    <w:p w14:paraId="27239BC0" w14:textId="77777777" w:rsidR="00F414F0" w:rsidRPr="001127A4" w:rsidRDefault="00F414F0" w:rsidP="002C4D38">
      <w:pPr>
        <w:jc w:val="center"/>
        <w:rPr>
          <w:sz w:val="28"/>
          <w:szCs w:val="28"/>
        </w:rPr>
      </w:pPr>
    </w:p>
    <w:p w14:paraId="1C1AEDD8" w14:textId="77777777" w:rsidR="00F414F0" w:rsidRPr="001127A4" w:rsidRDefault="00F414F0" w:rsidP="002C4D38">
      <w:pPr>
        <w:jc w:val="center"/>
      </w:pPr>
      <w:r w:rsidRPr="001127A4">
        <w:t>commencing</w:t>
      </w:r>
    </w:p>
    <w:p w14:paraId="502329D2" w14:textId="0F856E77" w:rsidR="00F414F0" w:rsidRPr="001127A4" w:rsidRDefault="00F414F0" w:rsidP="002C4D38">
      <w:pPr>
        <w:jc w:val="center"/>
      </w:pPr>
      <w:r w:rsidRPr="001127A4">
        <w:t>(</w:t>
      </w:r>
      <w:r w:rsidRPr="003A7766">
        <w:rPr>
          <w:i/>
        </w:rPr>
        <w:t>date</w:t>
      </w:r>
      <w:r w:rsidR="002C4D38" w:rsidRPr="001127A4">
        <w:t xml:space="preserve"> 2019</w:t>
      </w:r>
      <w:r w:rsidRPr="001127A4">
        <w:t>)</w:t>
      </w:r>
    </w:p>
    <w:p w14:paraId="433BD90E" w14:textId="3B155C87" w:rsidR="000538C7" w:rsidRPr="001127A4" w:rsidRDefault="000538C7" w:rsidP="002C4D38"/>
    <w:p w14:paraId="706C38C1" w14:textId="77777777" w:rsidR="002C4D38" w:rsidRPr="001127A4" w:rsidRDefault="002C4D38" w:rsidP="002C4D38">
      <w:pPr>
        <w:pStyle w:val="Heading2"/>
        <w:rPr>
          <w:rFonts w:asciiTheme="minorHAnsi" w:hAnsiTheme="minorHAnsi" w:cstheme="minorHAnsi"/>
        </w:rPr>
      </w:pPr>
      <w:r w:rsidRPr="001127A4">
        <w:rPr>
          <w:rFonts w:asciiTheme="minorHAnsi" w:hAnsiTheme="minorHAnsi" w:cstheme="minorHAnsi"/>
        </w:rPr>
        <w:t>Introduction</w:t>
      </w:r>
    </w:p>
    <w:p w14:paraId="02CA26A6" w14:textId="1DCBE540" w:rsidR="002C4D38" w:rsidRPr="001127A4" w:rsidRDefault="002C4D38" w:rsidP="002C4D38">
      <w:r w:rsidRPr="001127A4">
        <w:t xml:space="preserve">This Agreement </w:t>
      </w:r>
      <w:r w:rsidR="008E5899" w:rsidRPr="001127A4">
        <w:t>aims to develop</w:t>
      </w:r>
      <w:r w:rsidRPr="001127A4">
        <w:t xml:space="preserve"> </w:t>
      </w:r>
      <w:r w:rsidR="008E5899" w:rsidRPr="001127A4">
        <w:t xml:space="preserve">a </w:t>
      </w:r>
      <w:r w:rsidR="00D96816" w:rsidRPr="001127A4">
        <w:t>mutually beneficial</w:t>
      </w:r>
      <w:r w:rsidR="00CE08FC" w:rsidRPr="001127A4">
        <w:t xml:space="preserve"> </w:t>
      </w:r>
      <w:r w:rsidRPr="001127A4">
        <w:t xml:space="preserve">partnership between RPHA and </w:t>
      </w:r>
      <w:r w:rsidR="008E5899" w:rsidRPr="001127A4">
        <w:t xml:space="preserve">your </w:t>
      </w:r>
      <w:r w:rsidR="00CE08FC" w:rsidRPr="001127A4">
        <w:t xml:space="preserve">community radio station. </w:t>
      </w:r>
      <w:r w:rsidRPr="001127A4">
        <w:t xml:space="preserve">It </w:t>
      </w:r>
      <w:r w:rsidR="0035649A" w:rsidRPr="001127A4">
        <w:t>recognises our shared</w:t>
      </w:r>
      <w:r w:rsidRPr="001127A4">
        <w:t xml:space="preserve"> responsibility to</w:t>
      </w:r>
      <w:r w:rsidR="00CE08FC" w:rsidRPr="001127A4">
        <w:t xml:space="preserve"> encourage the production </w:t>
      </w:r>
      <w:r w:rsidR="007043A0" w:rsidRPr="001127A4">
        <w:t xml:space="preserve">of </w:t>
      </w:r>
      <w:r w:rsidR="00CE08FC" w:rsidRPr="001127A4">
        <w:t xml:space="preserve">new, diverse, quality, local RPH programming made by and for people with a print disability by supporting the </w:t>
      </w:r>
      <w:hyperlink r:id="rId9" w:history="1">
        <w:r w:rsidR="00CE08FC" w:rsidRPr="003A7766">
          <w:rPr>
            <w:rStyle w:val="Hyperlink"/>
            <w:i/>
            <w:u w:val="none"/>
          </w:rPr>
          <w:t>Standards for RPH Programming on Community Radio</w:t>
        </w:r>
      </w:hyperlink>
      <w:r w:rsidR="00CE08FC" w:rsidRPr="001127A4">
        <w:t xml:space="preserve"> </w:t>
      </w:r>
      <w:r w:rsidR="003A7766">
        <w:t xml:space="preserve">(PDF, 359KB) </w:t>
      </w:r>
      <w:r w:rsidR="00CE08FC" w:rsidRPr="001127A4">
        <w:t>(Standards)</w:t>
      </w:r>
      <w:r w:rsidRPr="001127A4">
        <w:t>.</w:t>
      </w:r>
    </w:p>
    <w:p w14:paraId="4ABF910C" w14:textId="322C4437" w:rsidR="002F53FA" w:rsidRPr="001127A4" w:rsidRDefault="002F53FA" w:rsidP="002C4D38"/>
    <w:p w14:paraId="5F18CCC8" w14:textId="77777777" w:rsidR="002F53FA" w:rsidRPr="001127A4" w:rsidRDefault="002F53FA" w:rsidP="002F53FA">
      <w:pPr>
        <w:pStyle w:val="Heading2"/>
        <w:rPr>
          <w:rFonts w:asciiTheme="minorHAnsi" w:hAnsiTheme="minorHAnsi" w:cstheme="minorHAnsi"/>
          <w:color w:val="0088B8"/>
        </w:rPr>
      </w:pPr>
      <w:r w:rsidRPr="001127A4">
        <w:rPr>
          <w:rFonts w:asciiTheme="minorHAnsi" w:hAnsiTheme="minorHAnsi" w:cstheme="minorHAnsi"/>
        </w:rPr>
        <w:t>Purpose</w:t>
      </w:r>
    </w:p>
    <w:p w14:paraId="55750B0B" w14:textId="77777777" w:rsidR="002F53FA" w:rsidRPr="001127A4" w:rsidRDefault="002F53FA" w:rsidP="002F53FA">
      <w:r w:rsidRPr="001127A4">
        <w:t>The purpose of this agreement is to:</w:t>
      </w:r>
    </w:p>
    <w:p w14:paraId="06357E8A" w14:textId="77777777" w:rsidR="002F53FA" w:rsidRPr="001127A4" w:rsidRDefault="002F53FA" w:rsidP="002F53FA">
      <w:pPr>
        <w:spacing w:line="276" w:lineRule="auto"/>
      </w:pPr>
    </w:p>
    <w:p w14:paraId="4D4429EE" w14:textId="77777777" w:rsidR="002F53FA" w:rsidRPr="001127A4" w:rsidRDefault="002F53FA" w:rsidP="002F53FA">
      <w:pPr>
        <w:pStyle w:val="ListParagraph"/>
        <w:numPr>
          <w:ilvl w:val="0"/>
          <w:numId w:val="5"/>
        </w:numPr>
        <w:spacing w:line="276" w:lineRule="auto"/>
      </w:pPr>
      <w:r w:rsidRPr="001127A4">
        <w:t xml:space="preserve">Record the agreement of </w:t>
      </w:r>
      <w:r w:rsidRPr="001127A4">
        <w:rPr>
          <w:b/>
          <w:i/>
        </w:rPr>
        <w:t>(station name)</w:t>
      </w:r>
      <w:r w:rsidRPr="001127A4">
        <w:t xml:space="preserve"> to:</w:t>
      </w:r>
    </w:p>
    <w:p w14:paraId="4B097956" w14:textId="55E8ED92" w:rsidR="002F53FA" w:rsidRPr="001127A4" w:rsidRDefault="00D960FF" w:rsidP="002F53FA">
      <w:pPr>
        <w:pStyle w:val="ListParagraph"/>
        <w:numPr>
          <w:ilvl w:val="1"/>
          <w:numId w:val="5"/>
        </w:numPr>
        <w:spacing w:line="276" w:lineRule="auto"/>
      </w:pPr>
      <w:r w:rsidRPr="001127A4">
        <w:t>Discuss</w:t>
      </w:r>
      <w:r w:rsidR="002F53FA" w:rsidRPr="001127A4">
        <w:t xml:space="preserve"> the </w:t>
      </w:r>
      <w:r w:rsidR="002F53FA" w:rsidRPr="001127A4">
        <w:rPr>
          <w:i/>
        </w:rPr>
        <w:t>Standards for RPH Programming on Community Radio</w:t>
      </w:r>
      <w:r w:rsidR="002F53FA" w:rsidRPr="001127A4">
        <w:t xml:space="preserve"> with RPH program producers</w:t>
      </w:r>
      <w:r w:rsidR="0035649A" w:rsidRPr="001127A4">
        <w:t xml:space="preserve"> as well as</w:t>
      </w:r>
      <w:r w:rsidRPr="001127A4">
        <w:t xml:space="preserve"> relevant staff and volunteers</w:t>
      </w:r>
    </w:p>
    <w:p w14:paraId="4580A4F8" w14:textId="77777777" w:rsidR="002F53FA" w:rsidRPr="001127A4" w:rsidRDefault="002F53FA" w:rsidP="002F53FA">
      <w:pPr>
        <w:pStyle w:val="ListParagraph"/>
        <w:numPr>
          <w:ilvl w:val="1"/>
          <w:numId w:val="5"/>
        </w:numPr>
        <w:spacing w:line="276" w:lineRule="auto"/>
      </w:pPr>
      <w:r w:rsidRPr="001127A4">
        <w:t xml:space="preserve">Adhere to all Programming and </w:t>
      </w:r>
      <w:r w:rsidRPr="001127A4">
        <w:rPr>
          <w:rStyle w:val="Hyperlink"/>
          <w:color w:val="auto"/>
          <w:u w:val="none"/>
        </w:rPr>
        <w:t>Community Consultation and Engagement Standards</w:t>
      </w:r>
      <w:r w:rsidRPr="001127A4">
        <w:t xml:space="preserve"> within the </w:t>
      </w:r>
      <w:r w:rsidRPr="001127A4">
        <w:rPr>
          <w:i/>
        </w:rPr>
        <w:t>Standards for RPH Programming on Community Radio</w:t>
      </w:r>
    </w:p>
    <w:p w14:paraId="734597EE" w14:textId="77777777" w:rsidR="002F53FA" w:rsidRPr="001127A4" w:rsidRDefault="002F53FA" w:rsidP="002F53FA">
      <w:pPr>
        <w:pStyle w:val="ListParagraph"/>
        <w:numPr>
          <w:ilvl w:val="1"/>
          <w:numId w:val="5"/>
        </w:numPr>
        <w:spacing w:line="276" w:lineRule="auto"/>
      </w:pPr>
      <w:r w:rsidRPr="001127A4">
        <w:t>Seek guidance and support from RPH Australia if required</w:t>
      </w:r>
    </w:p>
    <w:p w14:paraId="4FE27D7F" w14:textId="4B43D205" w:rsidR="002F53FA" w:rsidRPr="001127A4" w:rsidRDefault="002F53FA" w:rsidP="002F53FA">
      <w:pPr>
        <w:pStyle w:val="ListParagraph"/>
        <w:numPr>
          <w:ilvl w:val="1"/>
          <w:numId w:val="5"/>
        </w:numPr>
        <w:spacing w:line="276" w:lineRule="auto"/>
      </w:pPr>
      <w:r w:rsidRPr="001127A4">
        <w:t xml:space="preserve">Acknowledge the support of RPH Australia on </w:t>
      </w:r>
      <w:r w:rsidR="0035649A" w:rsidRPr="001127A4">
        <w:t xml:space="preserve">your </w:t>
      </w:r>
      <w:r w:rsidRPr="001127A4">
        <w:t>station website</w:t>
      </w:r>
    </w:p>
    <w:p w14:paraId="3EF54AAD" w14:textId="77777777" w:rsidR="002F53FA" w:rsidRPr="001127A4" w:rsidRDefault="002F53FA" w:rsidP="002F53FA">
      <w:pPr>
        <w:pStyle w:val="ListParagraph"/>
        <w:spacing w:line="276" w:lineRule="auto"/>
        <w:ind w:left="360"/>
      </w:pPr>
    </w:p>
    <w:p w14:paraId="6741B710" w14:textId="701E72B7" w:rsidR="002F53FA" w:rsidRPr="001127A4" w:rsidRDefault="002F53FA" w:rsidP="002C4D38">
      <w:pPr>
        <w:pStyle w:val="ListParagraph"/>
        <w:numPr>
          <w:ilvl w:val="0"/>
          <w:numId w:val="5"/>
        </w:numPr>
        <w:spacing w:line="276" w:lineRule="auto"/>
        <w:contextualSpacing w:val="0"/>
      </w:pPr>
      <w:r w:rsidRPr="001127A4">
        <w:t>Record the agreement of</w:t>
      </w:r>
      <w:r w:rsidRPr="001127A4">
        <w:rPr>
          <w:b/>
        </w:rPr>
        <w:t xml:space="preserve"> </w:t>
      </w:r>
      <w:r w:rsidRPr="001127A4">
        <w:t>RPHA to maintain the Standards and provide support</w:t>
      </w:r>
      <w:r w:rsidR="0035649A" w:rsidRPr="001127A4">
        <w:t>,</w:t>
      </w:r>
      <w:r w:rsidRPr="001127A4">
        <w:t xml:space="preserve"> resources and information to assist regional community radio stations </w:t>
      </w:r>
      <w:r w:rsidR="0035649A" w:rsidRPr="001127A4">
        <w:t>in</w:t>
      </w:r>
      <w:r w:rsidRPr="001127A4">
        <w:t xml:space="preserve"> produc</w:t>
      </w:r>
      <w:r w:rsidR="0035649A" w:rsidRPr="001127A4">
        <w:t>ing</w:t>
      </w:r>
      <w:r w:rsidRPr="001127A4">
        <w:t xml:space="preserve"> RPH programming that adheres to those Standards.</w:t>
      </w:r>
    </w:p>
    <w:p w14:paraId="59C32147" w14:textId="3FB1F044" w:rsidR="00E6339A" w:rsidRPr="001127A4" w:rsidRDefault="00E6339A" w:rsidP="002C4D38"/>
    <w:p w14:paraId="285B434F" w14:textId="2C23A00A" w:rsidR="00124750" w:rsidRPr="001127A4" w:rsidRDefault="00124750" w:rsidP="006E1E1E">
      <w:pPr>
        <w:pStyle w:val="Heading2"/>
        <w:rPr>
          <w:rFonts w:asciiTheme="minorHAnsi" w:hAnsiTheme="minorHAnsi" w:cstheme="minorHAnsi"/>
        </w:rPr>
      </w:pPr>
      <w:r w:rsidRPr="001127A4">
        <w:rPr>
          <w:rFonts w:asciiTheme="minorHAnsi" w:hAnsiTheme="minorHAnsi" w:cstheme="minorHAnsi"/>
        </w:rPr>
        <w:lastRenderedPageBreak/>
        <w:t xml:space="preserve">Objectives of the RPH Programming Standards </w:t>
      </w:r>
    </w:p>
    <w:p w14:paraId="1976D763" w14:textId="4C362C4E" w:rsidR="00E6339A" w:rsidRPr="001127A4" w:rsidRDefault="00E6339A" w:rsidP="002C4D38">
      <w:r w:rsidRPr="001127A4">
        <w:t xml:space="preserve">The Standards establish a framework for the production of RPH programming by </w:t>
      </w:r>
      <w:r w:rsidRPr="001127A4">
        <w:rPr>
          <w:b/>
        </w:rPr>
        <w:t xml:space="preserve">community radio stations with </w:t>
      </w:r>
      <w:r w:rsidRPr="001127A4">
        <w:rPr>
          <w:b/>
          <w:lang w:eastAsia="en-AU"/>
        </w:rPr>
        <w:t>a non-RPH broadcast licence</w:t>
      </w:r>
      <w:r w:rsidRPr="001127A4">
        <w:t xml:space="preserve">. They apply to any program produced by these stations, in the name of RPH, </w:t>
      </w:r>
      <w:r w:rsidRPr="001127A4">
        <w:rPr>
          <w:lang w:eastAsia="en-AU"/>
        </w:rPr>
        <w:t>to serve people with a print disability</w:t>
      </w:r>
      <w:r w:rsidRPr="001127A4">
        <w:t>.</w:t>
      </w:r>
    </w:p>
    <w:p w14:paraId="554E905D" w14:textId="42052C6E" w:rsidR="00124750" w:rsidRPr="001127A4" w:rsidRDefault="00124750" w:rsidP="002C4D38"/>
    <w:p w14:paraId="4D2A9E0E" w14:textId="77777777" w:rsidR="00124750" w:rsidRPr="001127A4" w:rsidRDefault="00124750" w:rsidP="00124750">
      <w:r w:rsidRPr="001127A4">
        <w:t>The Standards aim to encourage new, diverse, quality, local programming made by and for people with a print disability and contain:</w:t>
      </w:r>
    </w:p>
    <w:p w14:paraId="76FE5E9E" w14:textId="6505CFBD" w:rsidR="00124750" w:rsidRPr="001127A4" w:rsidRDefault="00124750" w:rsidP="00124750">
      <w:pPr>
        <w:pStyle w:val="ListParagraph"/>
        <w:numPr>
          <w:ilvl w:val="0"/>
          <w:numId w:val="6"/>
        </w:numPr>
      </w:pPr>
      <w:r w:rsidRPr="001127A4">
        <w:rPr>
          <w:rStyle w:val="Hyperlink"/>
          <w:b/>
          <w:color w:val="auto"/>
          <w:u w:val="none"/>
        </w:rPr>
        <w:t>Programming Standards</w:t>
      </w:r>
      <w:r w:rsidRPr="001127A4">
        <w:t xml:space="preserve"> – criteria outlining what RPH programs should contain and how programs should be produced and broadcast</w:t>
      </w:r>
    </w:p>
    <w:p w14:paraId="1780C3F2" w14:textId="5E4739E6" w:rsidR="00124750" w:rsidRPr="001127A4" w:rsidRDefault="00124750" w:rsidP="00124750">
      <w:pPr>
        <w:pStyle w:val="ListParagraph"/>
        <w:numPr>
          <w:ilvl w:val="0"/>
          <w:numId w:val="6"/>
        </w:numPr>
      </w:pPr>
      <w:r w:rsidRPr="001127A4">
        <w:rPr>
          <w:rStyle w:val="Hyperlink"/>
          <w:b/>
          <w:color w:val="auto"/>
          <w:u w:val="none"/>
        </w:rPr>
        <w:t>Community consultation and engagement Standards</w:t>
      </w:r>
      <w:r w:rsidRPr="001127A4">
        <w:t xml:space="preserve"> – criteria to ensure RPH programs are relevant and accessible, to best serve people with a print disability  </w:t>
      </w:r>
    </w:p>
    <w:p w14:paraId="41E9C7CC" w14:textId="7E98C5CB" w:rsidR="00124750" w:rsidRPr="001127A4" w:rsidRDefault="00124750" w:rsidP="00124750">
      <w:pPr>
        <w:rPr>
          <w:lang w:eastAsia="en-AU"/>
        </w:rPr>
      </w:pPr>
    </w:p>
    <w:p w14:paraId="45E90198" w14:textId="7ABD8930" w:rsidR="00124750" w:rsidRPr="001127A4" w:rsidRDefault="00124750" w:rsidP="00124750">
      <w:pPr>
        <w:pStyle w:val="Heading2"/>
        <w:rPr>
          <w:rFonts w:asciiTheme="minorHAnsi" w:hAnsiTheme="minorHAnsi" w:cstheme="minorHAnsi"/>
        </w:rPr>
      </w:pPr>
      <w:r w:rsidRPr="001127A4">
        <w:rPr>
          <w:rFonts w:asciiTheme="minorHAnsi" w:hAnsiTheme="minorHAnsi" w:cstheme="minorHAnsi"/>
        </w:rPr>
        <w:t>About this MoU</w:t>
      </w:r>
    </w:p>
    <w:p w14:paraId="32C94F0E" w14:textId="77777777" w:rsidR="002A74CE" w:rsidRPr="001127A4" w:rsidRDefault="002A74CE" w:rsidP="002A74CE">
      <w:pPr>
        <w:rPr>
          <w:lang w:eastAsia="en-AU"/>
        </w:rPr>
      </w:pPr>
      <w:r w:rsidRPr="001127A4">
        <w:rPr>
          <w:lang w:eastAsia="en-AU"/>
        </w:rPr>
        <w:t>Completing this MoU and adhering to the Standards is a condition of:</w:t>
      </w:r>
    </w:p>
    <w:p w14:paraId="6FEAA6F9" w14:textId="1F169901" w:rsidR="002A74CE" w:rsidRPr="001127A4" w:rsidRDefault="002A74CE" w:rsidP="002A74CE">
      <w:pPr>
        <w:pStyle w:val="ListParagraph"/>
        <w:numPr>
          <w:ilvl w:val="0"/>
          <w:numId w:val="7"/>
        </w:numPr>
        <w:rPr>
          <w:lang w:eastAsia="en-AU"/>
        </w:rPr>
      </w:pPr>
      <w:r w:rsidRPr="001127A4">
        <w:rPr>
          <w:lang w:eastAsia="en-AU"/>
        </w:rPr>
        <w:t xml:space="preserve">accessing Community Broadcasting Foundation (CBF) </w:t>
      </w:r>
      <w:hyperlink r:id="rId10" w:history="1">
        <w:r w:rsidRPr="001127A4">
          <w:rPr>
            <w:rStyle w:val="Hyperlink"/>
            <w:u w:val="none"/>
            <w:lang w:eastAsia="en-AU"/>
          </w:rPr>
          <w:t>funding for RPH programming</w:t>
        </w:r>
      </w:hyperlink>
    </w:p>
    <w:p w14:paraId="181484F6" w14:textId="3A7FDEFA" w:rsidR="002A74CE" w:rsidRPr="001127A4" w:rsidRDefault="002A74CE" w:rsidP="002A74CE">
      <w:pPr>
        <w:pStyle w:val="ListParagraph"/>
        <w:numPr>
          <w:ilvl w:val="0"/>
          <w:numId w:val="7"/>
        </w:numPr>
      </w:pPr>
      <w:r w:rsidRPr="001127A4">
        <w:rPr>
          <w:lang w:eastAsia="en-AU"/>
        </w:rPr>
        <w:t>participating in</w:t>
      </w:r>
      <w:r w:rsidRPr="001127A4">
        <w:t xml:space="preserve"> RPH Australia’s </w:t>
      </w:r>
      <w:hyperlink r:id="rId11" w:history="1">
        <w:r w:rsidRPr="001127A4">
          <w:rPr>
            <w:rStyle w:val="Hyperlink"/>
            <w:u w:val="none"/>
          </w:rPr>
          <w:t>National Sponsorship Scheme</w:t>
        </w:r>
      </w:hyperlink>
    </w:p>
    <w:p w14:paraId="351F461B" w14:textId="77777777" w:rsidR="002A74CE" w:rsidRPr="001127A4" w:rsidRDefault="002A74CE" w:rsidP="00D96816">
      <w:pPr>
        <w:rPr>
          <w:lang w:eastAsia="en-AU"/>
        </w:rPr>
      </w:pPr>
    </w:p>
    <w:p w14:paraId="5059FAF2" w14:textId="47A1BB47" w:rsidR="00D96816" w:rsidRPr="001127A4" w:rsidRDefault="00D96816" w:rsidP="00D96816">
      <w:pPr>
        <w:rPr>
          <w:lang w:eastAsia="en-AU"/>
        </w:rPr>
      </w:pPr>
      <w:r w:rsidRPr="001127A4">
        <w:rPr>
          <w:lang w:eastAsia="en-AU"/>
        </w:rPr>
        <w:t>Regional c</w:t>
      </w:r>
      <w:r w:rsidR="00124750" w:rsidRPr="001127A4">
        <w:rPr>
          <w:lang w:eastAsia="en-AU"/>
        </w:rPr>
        <w:t xml:space="preserve">ommunity stations </w:t>
      </w:r>
      <w:r w:rsidRPr="001127A4">
        <w:rPr>
          <w:lang w:eastAsia="en-AU"/>
        </w:rPr>
        <w:t>(</w:t>
      </w:r>
      <w:r w:rsidR="00124750" w:rsidRPr="001127A4">
        <w:rPr>
          <w:lang w:eastAsia="en-AU"/>
        </w:rPr>
        <w:t>outside the broadcast 'footprint' of an RPH licensed radio service</w:t>
      </w:r>
      <w:r w:rsidRPr="001127A4">
        <w:rPr>
          <w:lang w:eastAsia="en-AU"/>
        </w:rPr>
        <w:t>)</w:t>
      </w:r>
      <w:r w:rsidR="00124750" w:rsidRPr="001127A4">
        <w:rPr>
          <w:lang w:eastAsia="en-AU"/>
        </w:rPr>
        <w:t xml:space="preserve"> can apply for CBF </w:t>
      </w:r>
      <w:r w:rsidR="00124750" w:rsidRPr="001127A4">
        <w:rPr>
          <w:rStyle w:val="Hyperlink"/>
          <w:color w:val="auto"/>
          <w:u w:val="none"/>
          <w:lang w:eastAsia="en-AU"/>
        </w:rPr>
        <w:t>Content funding</w:t>
      </w:r>
      <w:r w:rsidR="00124750" w:rsidRPr="001127A4">
        <w:rPr>
          <w:lang w:eastAsia="en-AU"/>
        </w:rPr>
        <w:t xml:space="preserve"> to support local RPH programming. As part of that grant application, stations must </w:t>
      </w:r>
      <w:r w:rsidRPr="001127A4">
        <w:rPr>
          <w:lang w:eastAsia="en-AU"/>
        </w:rPr>
        <w:t>complete</w:t>
      </w:r>
      <w:r w:rsidR="00124750" w:rsidRPr="001127A4">
        <w:rPr>
          <w:lang w:eastAsia="en-AU"/>
        </w:rPr>
        <w:t xml:space="preserve"> this </w:t>
      </w:r>
      <w:r w:rsidRPr="001127A4">
        <w:rPr>
          <w:lang w:eastAsia="en-AU"/>
        </w:rPr>
        <w:t>MoU</w:t>
      </w:r>
      <w:r w:rsidR="00124750" w:rsidRPr="001127A4">
        <w:rPr>
          <w:lang w:eastAsia="en-AU"/>
        </w:rPr>
        <w:t xml:space="preserve">. </w:t>
      </w:r>
      <w:r w:rsidR="009625DA" w:rsidRPr="001127A4">
        <w:t>Stations producing RPH programming are</w:t>
      </w:r>
      <w:r w:rsidR="002A74CE" w:rsidRPr="001127A4">
        <w:t xml:space="preserve"> also</w:t>
      </w:r>
      <w:r w:rsidR="009625DA" w:rsidRPr="001127A4">
        <w:t xml:space="preserve"> invited to participate </w:t>
      </w:r>
      <w:r w:rsidR="00601A89" w:rsidRPr="001127A4">
        <w:t>in government sponsorship campaigns via</w:t>
      </w:r>
      <w:r w:rsidR="009625DA" w:rsidRPr="001127A4">
        <w:t xml:space="preserve"> RPHA’s</w:t>
      </w:r>
      <w:r w:rsidR="009625DA" w:rsidRPr="001127A4">
        <w:rPr>
          <w:b/>
        </w:rPr>
        <w:t xml:space="preserve"> </w:t>
      </w:r>
      <w:r w:rsidR="001F5DDC" w:rsidRPr="001127A4">
        <w:t>National Sponsorship Scheme</w:t>
      </w:r>
      <w:r w:rsidR="00601A89" w:rsidRPr="001127A4">
        <w:t>.</w:t>
      </w:r>
    </w:p>
    <w:p w14:paraId="0C068FCC" w14:textId="7DC9D2EB" w:rsidR="009F1ED4" w:rsidRPr="001127A4" w:rsidRDefault="009F1ED4" w:rsidP="009F1ED4">
      <w:pPr>
        <w:rPr>
          <w:b/>
        </w:rPr>
      </w:pPr>
    </w:p>
    <w:p w14:paraId="42AD89F7" w14:textId="409E1C12" w:rsidR="009F1ED4" w:rsidRPr="001127A4" w:rsidRDefault="009F1ED4" w:rsidP="009F1ED4">
      <w:r w:rsidRPr="001127A4">
        <w:t>This document is a statement of understanding and is not intended to create legal obligations on either party.</w:t>
      </w:r>
    </w:p>
    <w:p w14:paraId="03989303" w14:textId="293EB7FE" w:rsidR="009F1ED4" w:rsidRPr="001127A4" w:rsidRDefault="009F1ED4" w:rsidP="009F1ED4">
      <w:pPr>
        <w:spacing w:line="276" w:lineRule="auto"/>
      </w:pPr>
    </w:p>
    <w:p w14:paraId="4071A011" w14:textId="77777777" w:rsidR="009F1ED4" w:rsidRPr="001127A4" w:rsidRDefault="009F1ED4" w:rsidP="009F1ED4">
      <w:pPr>
        <w:pStyle w:val="Heading2"/>
        <w:rPr>
          <w:rFonts w:asciiTheme="minorHAnsi" w:hAnsiTheme="minorHAnsi" w:cstheme="minorHAnsi"/>
        </w:rPr>
      </w:pPr>
      <w:r w:rsidRPr="001127A4">
        <w:rPr>
          <w:rFonts w:asciiTheme="minorHAnsi" w:hAnsiTheme="minorHAnsi" w:cstheme="minorHAnsi"/>
        </w:rPr>
        <w:t>Term of this MoU</w:t>
      </w:r>
    </w:p>
    <w:p w14:paraId="66254FC2" w14:textId="61196084" w:rsidR="009F1ED4" w:rsidRPr="001127A4" w:rsidRDefault="009F1ED4" w:rsidP="009F1ED4">
      <w:r w:rsidRPr="001127A4">
        <w:t xml:space="preserve">This MoU commences on the date appearing below and remains in place for one year unless the parties agree to vary or terminate it. </w:t>
      </w:r>
    </w:p>
    <w:p w14:paraId="02923775" w14:textId="3E6632B6" w:rsidR="00C3538A" w:rsidRPr="001127A4" w:rsidRDefault="00C3538A" w:rsidP="002C4D38"/>
    <w:p w14:paraId="7694B7F3" w14:textId="736A875B" w:rsidR="00875F12" w:rsidRPr="001127A4" w:rsidRDefault="00875F12" w:rsidP="002A74CE">
      <w:pPr>
        <w:pStyle w:val="Heading2"/>
        <w:rPr>
          <w:rFonts w:asciiTheme="minorHAnsi" w:hAnsiTheme="minorHAnsi" w:cstheme="minorHAnsi"/>
        </w:rPr>
      </w:pPr>
      <w:r w:rsidRPr="001127A4">
        <w:rPr>
          <w:rFonts w:asciiTheme="minorHAnsi" w:hAnsiTheme="minorHAnsi" w:cstheme="minorHAnsi"/>
        </w:rPr>
        <w:t>About RPH Australia</w:t>
      </w:r>
    </w:p>
    <w:p w14:paraId="4261E76E" w14:textId="32E3BD21" w:rsidR="00875F12" w:rsidRPr="001127A4" w:rsidRDefault="00281797" w:rsidP="00875F12">
      <w:hyperlink r:id="rId12" w:history="1">
        <w:r w:rsidR="00875F12" w:rsidRPr="001127A4">
          <w:rPr>
            <w:rStyle w:val="Hyperlink"/>
            <w:u w:val="none"/>
          </w:rPr>
          <w:t>RPH Australia</w:t>
        </w:r>
      </w:hyperlink>
      <w:r w:rsidR="00875F12" w:rsidRPr="001127A4">
        <w:t xml:space="preserve"> is the peak body for the </w:t>
      </w:r>
      <w:hyperlink r:id="rId13" w:history="1">
        <w:r w:rsidR="00875F12" w:rsidRPr="001127A4">
          <w:rPr>
            <w:rStyle w:val="Hyperlink"/>
            <w:u w:val="none"/>
          </w:rPr>
          <w:t>Radio Reading Network</w:t>
        </w:r>
      </w:hyperlink>
      <w:r w:rsidR="00875F12" w:rsidRPr="001127A4">
        <w:t xml:space="preserve">, a national Co-operative of community radio services dedicated to providing access to information for the estimated 5 million Australians with a print disability.  We champion the rights of all people to access printed material, empowering equal participation in cultural, political and social life. </w:t>
      </w:r>
    </w:p>
    <w:p w14:paraId="3800A1EF" w14:textId="77777777" w:rsidR="00C3538A" w:rsidRPr="001127A4" w:rsidRDefault="00C3538A" w:rsidP="002C4D38"/>
    <w:p w14:paraId="5CE101AC" w14:textId="77777777" w:rsidR="009F1ED4" w:rsidRPr="001127A4" w:rsidRDefault="009F1ED4" w:rsidP="002A74CE">
      <w:pPr>
        <w:pStyle w:val="Heading2"/>
        <w:rPr>
          <w:rFonts w:asciiTheme="minorHAnsi" w:hAnsiTheme="minorHAnsi" w:cstheme="minorHAnsi"/>
        </w:rPr>
      </w:pPr>
      <w:r w:rsidRPr="001127A4">
        <w:rPr>
          <w:rFonts w:asciiTheme="minorHAnsi" w:hAnsiTheme="minorHAnsi" w:cstheme="minorHAnsi"/>
        </w:rPr>
        <w:t>Contact us</w:t>
      </w:r>
    </w:p>
    <w:p w14:paraId="3F0A0DF5" w14:textId="77777777" w:rsidR="009F1ED4" w:rsidRPr="001127A4" w:rsidRDefault="009F1ED4" w:rsidP="009F1ED4">
      <w:r w:rsidRPr="001127A4">
        <w:t>If you have any questions or feedback, please contact us:</w:t>
      </w:r>
    </w:p>
    <w:p w14:paraId="7FC64E1C" w14:textId="77777777" w:rsidR="009F1ED4" w:rsidRPr="001127A4" w:rsidRDefault="009F1ED4" w:rsidP="009F1ED4"/>
    <w:p w14:paraId="75AF8DC4" w14:textId="77777777" w:rsidR="009F1ED4" w:rsidRPr="001127A4" w:rsidRDefault="009F1ED4" w:rsidP="009F1ED4">
      <w:pPr>
        <w:rPr>
          <w:b/>
          <w:sz w:val="22"/>
          <w:szCs w:val="22"/>
        </w:rPr>
      </w:pPr>
      <w:r w:rsidRPr="001127A4">
        <w:rPr>
          <w:b/>
          <w:sz w:val="22"/>
          <w:szCs w:val="22"/>
        </w:rPr>
        <w:t>RPH Australia Co-operative Ltd.</w:t>
      </w:r>
    </w:p>
    <w:p w14:paraId="6ADE934F" w14:textId="77777777" w:rsidR="009F1ED4" w:rsidRPr="001127A4" w:rsidRDefault="009F1ED4" w:rsidP="009F1ED4">
      <w:pPr>
        <w:rPr>
          <w:b/>
          <w:sz w:val="22"/>
          <w:szCs w:val="22"/>
        </w:rPr>
      </w:pPr>
      <w:r w:rsidRPr="001127A4">
        <w:rPr>
          <w:sz w:val="22"/>
          <w:szCs w:val="22"/>
        </w:rPr>
        <w:t>Peak body for the RPH Radio Reading Network</w:t>
      </w:r>
    </w:p>
    <w:p w14:paraId="77C62852" w14:textId="77777777" w:rsidR="009F1ED4" w:rsidRPr="001127A4" w:rsidRDefault="009F1ED4" w:rsidP="009F1ED4">
      <w:pPr>
        <w:rPr>
          <w:sz w:val="22"/>
          <w:szCs w:val="22"/>
        </w:rPr>
      </w:pPr>
      <w:r w:rsidRPr="001127A4">
        <w:rPr>
          <w:sz w:val="22"/>
          <w:szCs w:val="22"/>
        </w:rPr>
        <w:t>PO Box 89</w:t>
      </w:r>
    </w:p>
    <w:p w14:paraId="0805BDEA" w14:textId="77777777" w:rsidR="009F1ED4" w:rsidRPr="001127A4" w:rsidRDefault="009F1ED4" w:rsidP="009F1ED4">
      <w:pPr>
        <w:rPr>
          <w:sz w:val="22"/>
          <w:szCs w:val="22"/>
        </w:rPr>
      </w:pPr>
      <w:r w:rsidRPr="001127A4">
        <w:rPr>
          <w:sz w:val="22"/>
          <w:szCs w:val="22"/>
        </w:rPr>
        <w:t>South Hobart TAS 7004</w:t>
      </w:r>
    </w:p>
    <w:p w14:paraId="5F5371AE" w14:textId="77777777" w:rsidR="009F1ED4" w:rsidRPr="001127A4" w:rsidRDefault="009F1ED4" w:rsidP="009F1ED4">
      <w:pPr>
        <w:rPr>
          <w:sz w:val="22"/>
          <w:szCs w:val="22"/>
        </w:rPr>
      </w:pPr>
      <w:r w:rsidRPr="001127A4">
        <w:rPr>
          <w:sz w:val="22"/>
          <w:szCs w:val="22"/>
        </w:rPr>
        <w:t>Phone: 0417 453 643</w:t>
      </w:r>
    </w:p>
    <w:p w14:paraId="21E45549" w14:textId="77777777" w:rsidR="007043A0" w:rsidRPr="001127A4" w:rsidRDefault="007043A0" w:rsidP="007043A0">
      <w:pPr>
        <w:rPr>
          <w:sz w:val="22"/>
          <w:szCs w:val="22"/>
        </w:rPr>
      </w:pPr>
      <w:r w:rsidRPr="001127A4">
        <w:rPr>
          <w:sz w:val="22"/>
          <w:szCs w:val="22"/>
        </w:rPr>
        <w:t xml:space="preserve">Email: </w:t>
      </w:r>
      <w:hyperlink r:id="rId14" w:history="1">
        <w:r w:rsidRPr="001127A4">
          <w:rPr>
            <w:rStyle w:val="Hyperlink"/>
            <w:sz w:val="22"/>
            <w:szCs w:val="22"/>
            <w:u w:val="none"/>
          </w:rPr>
          <w:t>admin@rph.org.au</w:t>
        </w:r>
      </w:hyperlink>
    </w:p>
    <w:p w14:paraId="23FDBF18" w14:textId="416A9104" w:rsidR="008728C3" w:rsidRPr="001127A4" w:rsidRDefault="007043A0" w:rsidP="007043A0">
      <w:pPr>
        <w:rPr>
          <w:color w:val="0563C1" w:themeColor="hyperlink"/>
          <w:sz w:val="22"/>
          <w:szCs w:val="22"/>
        </w:rPr>
        <w:sectPr w:rsidR="008728C3" w:rsidRPr="001127A4">
          <w:footerReference w:type="even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27A4">
        <w:rPr>
          <w:sz w:val="22"/>
          <w:szCs w:val="22"/>
        </w:rPr>
        <w:t xml:space="preserve">Web: </w:t>
      </w:r>
      <w:r w:rsidRPr="001127A4">
        <w:rPr>
          <w:rStyle w:val="Hyperlink"/>
          <w:sz w:val="22"/>
          <w:szCs w:val="22"/>
          <w:u w:val="none"/>
        </w:rPr>
        <w:t>www.rph.org.au</w:t>
      </w:r>
    </w:p>
    <w:p w14:paraId="5D02AFA5" w14:textId="4B19335E" w:rsidR="00C81EFD" w:rsidRPr="001127A4" w:rsidRDefault="00C81EFD" w:rsidP="008728C3">
      <w:pPr>
        <w:pStyle w:val="CBAA-CHAPTERHEADING"/>
        <w:jc w:val="center"/>
        <w:rPr>
          <w:rFonts w:asciiTheme="minorHAnsi" w:hAnsiTheme="minorHAnsi" w:cstheme="minorHAnsi"/>
        </w:rPr>
      </w:pPr>
      <w:r w:rsidRPr="001127A4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0D4829B" wp14:editId="13A3258A">
            <wp:extent cx="1780166" cy="998269"/>
            <wp:effectExtent l="0" t="0" r="0" b="0"/>
            <wp:docPr id="1" name="Picture 1" descr="RPH Australia colour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HAustralia_logo_high_res_colour.e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88" cy="103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8EBDB" w14:textId="771E35CB" w:rsidR="008728C3" w:rsidRPr="001127A4" w:rsidRDefault="008728C3" w:rsidP="008728C3">
      <w:pPr>
        <w:pStyle w:val="CBAA-CHAPTERHEADING"/>
        <w:jc w:val="center"/>
        <w:rPr>
          <w:rFonts w:asciiTheme="minorHAnsi" w:hAnsiTheme="minorHAnsi" w:cstheme="minorHAnsi"/>
        </w:rPr>
      </w:pPr>
      <w:r w:rsidRPr="001127A4">
        <w:rPr>
          <w:rFonts w:asciiTheme="minorHAnsi" w:hAnsiTheme="minorHAnsi" w:cstheme="minorHAnsi"/>
        </w:rPr>
        <w:t>Memorandum of Understanding</w:t>
      </w:r>
    </w:p>
    <w:p w14:paraId="512CE47C" w14:textId="77777777" w:rsidR="008728C3" w:rsidRPr="001127A4" w:rsidRDefault="008728C3" w:rsidP="008728C3">
      <w:pPr>
        <w:pStyle w:val="CBAA-Sectionheading"/>
        <w:jc w:val="center"/>
        <w:rPr>
          <w:rFonts w:asciiTheme="minorHAnsi" w:hAnsiTheme="minorHAnsi" w:cstheme="minorHAnsi"/>
        </w:rPr>
      </w:pPr>
      <w:r w:rsidRPr="001127A4">
        <w:rPr>
          <w:rFonts w:asciiTheme="minorHAnsi" w:hAnsiTheme="minorHAnsi" w:cstheme="minorHAnsi"/>
        </w:rPr>
        <w:t>This document represents an agreement between</w:t>
      </w:r>
    </w:p>
    <w:p w14:paraId="42463E2A" w14:textId="77777777" w:rsidR="008728C3" w:rsidRPr="001127A4" w:rsidRDefault="008728C3" w:rsidP="002A74CE">
      <w:pPr>
        <w:jc w:val="center"/>
      </w:pPr>
      <w:r w:rsidRPr="001127A4">
        <w:t>RPH AUSTRALIA CO-OPERATIVE LTD (“RPHA”)</w:t>
      </w:r>
    </w:p>
    <w:p w14:paraId="1BCBB849" w14:textId="77777777" w:rsidR="008728C3" w:rsidRPr="001127A4" w:rsidRDefault="008728C3" w:rsidP="002A74CE">
      <w:pPr>
        <w:jc w:val="center"/>
      </w:pPr>
      <w:r w:rsidRPr="001127A4">
        <w:t>And</w:t>
      </w:r>
    </w:p>
    <w:p w14:paraId="716998FD" w14:textId="37B63D51" w:rsidR="008728C3" w:rsidRPr="001127A4" w:rsidRDefault="008728C3" w:rsidP="002A74CE">
      <w:pPr>
        <w:jc w:val="center"/>
      </w:pPr>
      <w:r w:rsidRPr="001127A4">
        <w:t>(</w:t>
      </w:r>
      <w:r w:rsidRPr="002F6A25">
        <w:rPr>
          <w:i/>
        </w:rPr>
        <w:t>STATION NAME</w:t>
      </w:r>
      <w:r w:rsidRPr="001127A4">
        <w:t>)</w:t>
      </w:r>
    </w:p>
    <w:p w14:paraId="7B1F2542" w14:textId="77777777" w:rsidR="008728C3" w:rsidRPr="001127A4" w:rsidRDefault="008728C3" w:rsidP="002C4D38"/>
    <w:p w14:paraId="74E53ED9" w14:textId="77777777" w:rsidR="008728C3" w:rsidRPr="001127A4" w:rsidRDefault="008728C3" w:rsidP="002C4D38">
      <w:pPr>
        <w:pStyle w:val="CBAA-bodybold"/>
        <w:rPr>
          <w:rFonts w:asciiTheme="minorHAnsi" w:hAnsiTheme="minorHAnsi"/>
        </w:rPr>
      </w:pPr>
    </w:p>
    <w:p w14:paraId="19A8FE00" w14:textId="77777777" w:rsidR="008728C3" w:rsidRPr="001127A4" w:rsidRDefault="008728C3" w:rsidP="002C4D38">
      <w:pPr>
        <w:pStyle w:val="Comment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7"/>
        <w:gridCol w:w="4219"/>
      </w:tblGrid>
      <w:tr w:rsidR="008728C3" w:rsidRPr="001127A4" w14:paraId="1BEC6164" w14:textId="77777777" w:rsidTr="00FD44C8">
        <w:trPr>
          <w:jc w:val="center"/>
        </w:trPr>
        <w:tc>
          <w:tcPr>
            <w:tcW w:w="4217" w:type="dxa"/>
          </w:tcPr>
          <w:p w14:paraId="03250086" w14:textId="77777777" w:rsidR="008728C3" w:rsidRPr="001127A4" w:rsidRDefault="008728C3" w:rsidP="002C4D38">
            <w:pPr>
              <w:pStyle w:val="CBAA-bodybold"/>
              <w:rPr>
                <w:rFonts w:asciiTheme="minorHAnsi" w:hAnsiTheme="minorHAnsi"/>
                <w:sz w:val="24"/>
                <w:szCs w:val="24"/>
              </w:rPr>
            </w:pPr>
            <w:r w:rsidRPr="001127A4">
              <w:rPr>
                <w:rFonts w:asciiTheme="minorHAnsi" w:hAnsiTheme="minorHAnsi"/>
                <w:sz w:val="24"/>
                <w:szCs w:val="24"/>
              </w:rPr>
              <w:t>RPHA</w:t>
            </w:r>
          </w:p>
        </w:tc>
        <w:tc>
          <w:tcPr>
            <w:tcW w:w="4219" w:type="dxa"/>
          </w:tcPr>
          <w:p w14:paraId="3D91C2D6" w14:textId="545EA94B" w:rsidR="008728C3" w:rsidRPr="002F6A25" w:rsidRDefault="008728C3" w:rsidP="002C4D38">
            <w:pPr>
              <w:pStyle w:val="CBAA-bodybold"/>
              <w:rPr>
                <w:rFonts w:asciiTheme="minorHAnsi" w:hAnsiTheme="minorHAnsi"/>
                <w:i/>
                <w:sz w:val="24"/>
                <w:szCs w:val="24"/>
              </w:rPr>
            </w:pPr>
            <w:r w:rsidRPr="002F6A25">
              <w:rPr>
                <w:rFonts w:asciiTheme="minorHAnsi" w:hAnsiTheme="minorHAnsi"/>
                <w:i/>
                <w:sz w:val="24"/>
                <w:szCs w:val="24"/>
              </w:rPr>
              <w:t>Station Name</w:t>
            </w:r>
          </w:p>
        </w:tc>
      </w:tr>
      <w:tr w:rsidR="008728C3" w:rsidRPr="001127A4" w14:paraId="60A59E48" w14:textId="77777777" w:rsidTr="00FD44C8">
        <w:trPr>
          <w:jc w:val="center"/>
        </w:trPr>
        <w:tc>
          <w:tcPr>
            <w:tcW w:w="8436" w:type="dxa"/>
            <w:gridSpan w:val="2"/>
          </w:tcPr>
          <w:p w14:paraId="5660F50C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28C3" w:rsidRPr="001127A4" w14:paraId="4E990F77" w14:textId="77777777" w:rsidTr="00FD44C8">
        <w:trPr>
          <w:jc w:val="center"/>
        </w:trPr>
        <w:tc>
          <w:tcPr>
            <w:tcW w:w="4217" w:type="dxa"/>
          </w:tcPr>
          <w:p w14:paraId="4CB61097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  <w:r w:rsidRPr="001127A4">
              <w:rPr>
                <w:rFonts w:asciiTheme="minorHAnsi" w:hAnsiTheme="minorHAnsi"/>
                <w:sz w:val="24"/>
                <w:szCs w:val="24"/>
              </w:rPr>
              <w:t>Name:</w:t>
            </w:r>
            <w:r w:rsidRPr="001127A4">
              <w:rPr>
                <w:rFonts w:asciiTheme="minorHAnsi" w:hAnsiTheme="minorHAnsi"/>
                <w:sz w:val="24"/>
                <w:szCs w:val="24"/>
              </w:rPr>
              <w:tab/>
            </w:r>
            <w:r w:rsidRPr="001127A4">
              <w:rPr>
                <w:rFonts w:asciiTheme="minorHAnsi" w:hAnsiTheme="minorHAnsi"/>
                <w:sz w:val="24"/>
                <w:szCs w:val="24"/>
              </w:rPr>
              <w:tab/>
              <w:t>Marilyn Alborough</w:t>
            </w:r>
          </w:p>
        </w:tc>
        <w:tc>
          <w:tcPr>
            <w:tcW w:w="4219" w:type="dxa"/>
          </w:tcPr>
          <w:p w14:paraId="7FA741ED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  <w:r w:rsidRPr="001127A4">
              <w:rPr>
                <w:rFonts w:asciiTheme="minorHAnsi" w:hAnsiTheme="minorHAnsi"/>
                <w:sz w:val="24"/>
                <w:szCs w:val="24"/>
              </w:rPr>
              <w:t>Name:</w:t>
            </w:r>
            <w:r w:rsidRPr="001127A4">
              <w:rPr>
                <w:rFonts w:asciiTheme="minorHAnsi" w:hAnsiTheme="minorHAnsi"/>
                <w:sz w:val="24"/>
                <w:szCs w:val="24"/>
              </w:rPr>
              <w:tab/>
            </w:r>
            <w:r w:rsidRPr="001127A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8728C3" w:rsidRPr="001127A4" w14:paraId="6CF9E3BC" w14:textId="77777777" w:rsidTr="00FD44C8">
        <w:trPr>
          <w:jc w:val="center"/>
        </w:trPr>
        <w:tc>
          <w:tcPr>
            <w:tcW w:w="4217" w:type="dxa"/>
          </w:tcPr>
          <w:p w14:paraId="60F3377F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  <w:r w:rsidRPr="001127A4">
              <w:rPr>
                <w:rFonts w:asciiTheme="minorHAnsi" w:hAnsiTheme="minorHAnsi"/>
                <w:sz w:val="24"/>
                <w:szCs w:val="24"/>
              </w:rPr>
              <w:t xml:space="preserve">Title: </w:t>
            </w:r>
            <w:r w:rsidRPr="001127A4">
              <w:rPr>
                <w:rFonts w:asciiTheme="minorHAnsi" w:hAnsiTheme="minorHAnsi"/>
                <w:sz w:val="24"/>
                <w:szCs w:val="24"/>
              </w:rPr>
              <w:tab/>
            </w:r>
            <w:r w:rsidRPr="001127A4">
              <w:rPr>
                <w:rFonts w:asciiTheme="minorHAnsi" w:hAnsiTheme="minorHAnsi"/>
                <w:sz w:val="24"/>
                <w:szCs w:val="24"/>
              </w:rPr>
              <w:tab/>
              <w:t>Chief Executive Officer</w:t>
            </w:r>
          </w:p>
        </w:tc>
        <w:tc>
          <w:tcPr>
            <w:tcW w:w="4219" w:type="dxa"/>
          </w:tcPr>
          <w:p w14:paraId="6DA4F939" w14:textId="764FF4BE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  <w:r w:rsidRPr="001127A4">
              <w:rPr>
                <w:rFonts w:asciiTheme="minorHAnsi" w:hAnsiTheme="minorHAnsi"/>
                <w:sz w:val="24"/>
                <w:szCs w:val="24"/>
              </w:rPr>
              <w:t xml:space="preserve">Title: </w:t>
            </w:r>
            <w:r w:rsidRPr="001127A4">
              <w:rPr>
                <w:rFonts w:asciiTheme="minorHAnsi" w:hAnsiTheme="minorHAnsi"/>
                <w:sz w:val="24"/>
                <w:szCs w:val="24"/>
              </w:rPr>
              <w:tab/>
            </w:r>
            <w:bookmarkStart w:id="0" w:name="_GoBack"/>
            <w:r w:rsidRPr="002F6A25">
              <w:rPr>
                <w:rFonts w:asciiTheme="minorHAnsi" w:hAnsiTheme="minorHAnsi"/>
                <w:i/>
                <w:sz w:val="24"/>
                <w:szCs w:val="24"/>
              </w:rPr>
              <w:t>(authorised representative)</w:t>
            </w:r>
            <w:bookmarkEnd w:id="0"/>
          </w:p>
        </w:tc>
      </w:tr>
      <w:tr w:rsidR="008728C3" w:rsidRPr="001127A4" w14:paraId="7C7BD8DE" w14:textId="77777777" w:rsidTr="00FD44C8">
        <w:trPr>
          <w:jc w:val="center"/>
        </w:trPr>
        <w:tc>
          <w:tcPr>
            <w:tcW w:w="8436" w:type="dxa"/>
            <w:gridSpan w:val="2"/>
          </w:tcPr>
          <w:p w14:paraId="49A29004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28C3" w:rsidRPr="001127A4" w14:paraId="755109FA" w14:textId="77777777" w:rsidTr="00FD44C8">
        <w:trPr>
          <w:jc w:val="center"/>
        </w:trPr>
        <w:tc>
          <w:tcPr>
            <w:tcW w:w="4217" w:type="dxa"/>
          </w:tcPr>
          <w:p w14:paraId="363BC0AC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  <w:r w:rsidRPr="001127A4">
              <w:rPr>
                <w:rFonts w:asciiTheme="minorHAnsi" w:hAnsiTheme="minorHAnsi"/>
                <w:sz w:val="24"/>
                <w:szCs w:val="24"/>
              </w:rPr>
              <w:t>Signature:</w:t>
            </w:r>
          </w:p>
          <w:p w14:paraId="2D5B626C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19" w:type="dxa"/>
          </w:tcPr>
          <w:p w14:paraId="25DB9E34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  <w:r w:rsidRPr="001127A4">
              <w:rPr>
                <w:rFonts w:asciiTheme="minorHAnsi" w:hAnsiTheme="minorHAnsi"/>
                <w:sz w:val="24"/>
                <w:szCs w:val="24"/>
              </w:rPr>
              <w:t>Signature:</w:t>
            </w:r>
          </w:p>
        </w:tc>
      </w:tr>
      <w:tr w:rsidR="008728C3" w:rsidRPr="001127A4" w14:paraId="6C4A6739" w14:textId="77777777" w:rsidTr="00FD44C8">
        <w:trPr>
          <w:jc w:val="center"/>
        </w:trPr>
        <w:tc>
          <w:tcPr>
            <w:tcW w:w="4217" w:type="dxa"/>
          </w:tcPr>
          <w:p w14:paraId="40F8BAE6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  <w:r w:rsidRPr="001127A4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4219" w:type="dxa"/>
          </w:tcPr>
          <w:p w14:paraId="2126E5CB" w14:textId="77777777" w:rsidR="008728C3" w:rsidRPr="001127A4" w:rsidRDefault="008728C3" w:rsidP="002C4D38">
            <w:pPr>
              <w:pStyle w:val="CBAA-bodycopy"/>
              <w:rPr>
                <w:rFonts w:asciiTheme="minorHAnsi" w:hAnsiTheme="minorHAnsi"/>
                <w:sz w:val="24"/>
                <w:szCs w:val="24"/>
              </w:rPr>
            </w:pPr>
            <w:r w:rsidRPr="001127A4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</w:tr>
    </w:tbl>
    <w:p w14:paraId="0DDC137A" w14:textId="77777777" w:rsidR="00EA411A" w:rsidRPr="001127A4" w:rsidRDefault="00EA411A" w:rsidP="002C4D38"/>
    <w:p w14:paraId="785BDB62" w14:textId="5ADAD86B" w:rsidR="002556B4" w:rsidRPr="001127A4" w:rsidRDefault="002556B4" w:rsidP="002C4D38"/>
    <w:sectPr w:rsidR="002556B4" w:rsidRPr="0011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8875" w14:textId="77777777" w:rsidR="00281797" w:rsidRDefault="00281797" w:rsidP="002C4D38">
      <w:r>
        <w:separator/>
      </w:r>
    </w:p>
  </w:endnote>
  <w:endnote w:type="continuationSeparator" w:id="0">
    <w:p w14:paraId="46450764" w14:textId="77777777" w:rsidR="00281797" w:rsidRDefault="00281797" w:rsidP="002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4626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00777" w14:textId="543C54EB" w:rsidR="00BB515C" w:rsidRDefault="00BB515C" w:rsidP="00B63A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FCC936" w14:textId="77777777" w:rsidR="00BB515C" w:rsidRDefault="00BB5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1737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11C0B" w14:textId="0EEF861F" w:rsidR="00BB515C" w:rsidRDefault="00BB515C" w:rsidP="00B63A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EFA746" w14:textId="1A7C549B" w:rsidR="00BB515C" w:rsidRDefault="00BB515C" w:rsidP="00BB515C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72DF" w14:textId="77777777" w:rsidR="00281797" w:rsidRDefault="00281797" w:rsidP="002C4D38">
      <w:r>
        <w:separator/>
      </w:r>
    </w:p>
  </w:footnote>
  <w:footnote w:type="continuationSeparator" w:id="0">
    <w:p w14:paraId="280EE59F" w14:textId="77777777" w:rsidR="00281797" w:rsidRDefault="00281797" w:rsidP="002C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585"/>
    <w:multiLevelType w:val="hybridMultilevel"/>
    <w:tmpl w:val="8614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671"/>
    <w:multiLevelType w:val="hybridMultilevel"/>
    <w:tmpl w:val="D8F8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483A"/>
    <w:multiLevelType w:val="hybridMultilevel"/>
    <w:tmpl w:val="58565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7A4"/>
    <w:multiLevelType w:val="hybridMultilevel"/>
    <w:tmpl w:val="88AE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0D"/>
    <w:multiLevelType w:val="hybridMultilevel"/>
    <w:tmpl w:val="9FCE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2CF2"/>
    <w:multiLevelType w:val="hybridMultilevel"/>
    <w:tmpl w:val="1CC623A2"/>
    <w:lvl w:ilvl="0" w:tplc="2D92B22A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545F9"/>
    <w:multiLevelType w:val="hybridMultilevel"/>
    <w:tmpl w:val="2E72293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CA"/>
    <w:rsid w:val="0002402A"/>
    <w:rsid w:val="0004387D"/>
    <w:rsid w:val="000538C7"/>
    <w:rsid w:val="000B21DD"/>
    <w:rsid w:val="000E5D48"/>
    <w:rsid w:val="001127A4"/>
    <w:rsid w:val="00124107"/>
    <w:rsid w:val="00124750"/>
    <w:rsid w:val="001F1112"/>
    <w:rsid w:val="001F5DDC"/>
    <w:rsid w:val="001F5EF9"/>
    <w:rsid w:val="002556B4"/>
    <w:rsid w:val="00281797"/>
    <w:rsid w:val="002A74CE"/>
    <w:rsid w:val="002C4D38"/>
    <w:rsid w:val="002D1078"/>
    <w:rsid w:val="002F4BD9"/>
    <w:rsid w:val="002F53FA"/>
    <w:rsid w:val="002F6A25"/>
    <w:rsid w:val="0035649A"/>
    <w:rsid w:val="003A7766"/>
    <w:rsid w:val="003A78A9"/>
    <w:rsid w:val="003B645D"/>
    <w:rsid w:val="004F5F2C"/>
    <w:rsid w:val="00553EB5"/>
    <w:rsid w:val="005C6DE8"/>
    <w:rsid w:val="005E05B4"/>
    <w:rsid w:val="00601A89"/>
    <w:rsid w:val="006059CA"/>
    <w:rsid w:val="006E1E1E"/>
    <w:rsid w:val="007043A0"/>
    <w:rsid w:val="00707297"/>
    <w:rsid w:val="007239E2"/>
    <w:rsid w:val="0076610F"/>
    <w:rsid w:val="008728C3"/>
    <w:rsid w:val="00875F12"/>
    <w:rsid w:val="00887EA1"/>
    <w:rsid w:val="008E5899"/>
    <w:rsid w:val="008F3335"/>
    <w:rsid w:val="009625DA"/>
    <w:rsid w:val="009A4C83"/>
    <w:rsid w:val="009F1ED4"/>
    <w:rsid w:val="00B6387D"/>
    <w:rsid w:val="00BB515C"/>
    <w:rsid w:val="00C3538A"/>
    <w:rsid w:val="00C371D0"/>
    <w:rsid w:val="00C81EFD"/>
    <w:rsid w:val="00CE08FC"/>
    <w:rsid w:val="00D960FF"/>
    <w:rsid w:val="00D96816"/>
    <w:rsid w:val="00DA715A"/>
    <w:rsid w:val="00E6339A"/>
    <w:rsid w:val="00EA411A"/>
    <w:rsid w:val="00ED6EEE"/>
    <w:rsid w:val="00EF47A4"/>
    <w:rsid w:val="00F1785F"/>
    <w:rsid w:val="00F414F0"/>
    <w:rsid w:val="00F45C25"/>
    <w:rsid w:val="00F538DE"/>
    <w:rsid w:val="00F57F5F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207C"/>
  <w15:chartTrackingRefBased/>
  <w15:docId w15:val="{30C15B28-7147-4DCE-8810-53380D9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D38"/>
    <w:pPr>
      <w:spacing w:after="0" w:line="240" w:lineRule="auto"/>
    </w:pPr>
    <w:rPr>
      <w:rFonts w:eastAsia="Times New Roman"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4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4BD9"/>
  </w:style>
  <w:style w:type="paragraph" w:styleId="Footer">
    <w:name w:val="footer"/>
    <w:basedOn w:val="Normal"/>
    <w:link w:val="FooterChar"/>
    <w:uiPriority w:val="99"/>
    <w:unhideWhenUsed/>
    <w:rsid w:val="002F4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D9"/>
  </w:style>
  <w:style w:type="character" w:styleId="Hyperlink">
    <w:name w:val="Hyperlink"/>
    <w:basedOn w:val="DefaultParagraphFont"/>
    <w:uiPriority w:val="99"/>
    <w:unhideWhenUsed/>
    <w:rsid w:val="007239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239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4C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A9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4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A411A"/>
    <w:rPr>
      <w:rFonts w:ascii="Arial" w:eastAsia="Arial" w:hAnsi="Arial" w:cs="Arial"/>
      <w:lang w:val="en-US" w:bidi="en-US"/>
    </w:rPr>
  </w:style>
  <w:style w:type="paragraph" w:customStyle="1" w:styleId="CBAA-bodycopy">
    <w:name w:val="CBAA - body copy"/>
    <w:basedOn w:val="Normal"/>
    <w:qFormat/>
    <w:rsid w:val="008728C3"/>
    <w:pPr>
      <w:spacing w:line="276" w:lineRule="auto"/>
    </w:pPr>
    <w:rPr>
      <w:rFonts w:ascii="Gotham Book" w:hAnsi="Gotham Book"/>
      <w:sz w:val="18"/>
      <w:szCs w:val="18"/>
    </w:rPr>
  </w:style>
  <w:style w:type="paragraph" w:customStyle="1" w:styleId="CBAA-bodybold">
    <w:name w:val="CBAA - body bold"/>
    <w:basedOn w:val="CBAA-bodycopy"/>
    <w:qFormat/>
    <w:rsid w:val="008728C3"/>
    <w:rPr>
      <w:rFonts w:ascii="Gotham Bold" w:hAnsi="Gotham Bold"/>
    </w:rPr>
  </w:style>
  <w:style w:type="paragraph" w:customStyle="1" w:styleId="CBAA-Sectionheading">
    <w:name w:val="CBAA -Section heading"/>
    <w:qFormat/>
    <w:rsid w:val="008728C3"/>
    <w:pPr>
      <w:spacing w:after="200" w:line="240" w:lineRule="auto"/>
    </w:pPr>
    <w:rPr>
      <w:rFonts w:ascii="Gotham Book" w:eastAsia="Times New Roman" w:hAnsi="Gotham Book" w:cs="Times New Roman"/>
      <w:color w:val="404040" w:themeColor="text1" w:themeTint="BF"/>
      <w:sz w:val="32"/>
      <w:szCs w:val="32"/>
    </w:rPr>
  </w:style>
  <w:style w:type="paragraph" w:customStyle="1" w:styleId="CBAA-CHAPTERHEADING">
    <w:name w:val="CBAA - CHAPTER HEADING"/>
    <w:qFormat/>
    <w:rsid w:val="008728C3"/>
    <w:pPr>
      <w:spacing w:after="200" w:line="276" w:lineRule="auto"/>
    </w:pPr>
    <w:rPr>
      <w:rFonts w:ascii="Gotham Bold" w:eastAsia="Times New Roman" w:hAnsi="Gotham Bold" w:cs="Times New Roman"/>
      <w:color w:val="404040" w:themeColor="text1" w:themeTint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4D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B515C"/>
  </w:style>
  <w:style w:type="character" w:styleId="FollowedHyperlink">
    <w:name w:val="FollowedHyperlink"/>
    <w:basedOn w:val="DefaultParagraphFont"/>
    <w:uiPriority w:val="99"/>
    <w:semiHidden/>
    <w:unhideWhenUsed/>
    <w:rsid w:val="00704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ph.org.au/networ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h.org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h.org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bf.org.au/grants/grants-available/content/specialist-rad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ph.org.au/wp-content/uploads/2018/12/RPHA_Standards_for_RPH_Programming_on_Community_Radio_2018_359KB.pdf" TargetMode="External"/><Relationship Id="rId14" Type="http://schemas.openxmlformats.org/officeDocument/2006/relationships/hyperlink" Target="mailto:admin@rp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ADD91-383F-5A43-AD75-D248EA78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dc:description/>
  <cp:lastModifiedBy>Bek Pasqualini</cp:lastModifiedBy>
  <cp:revision>25</cp:revision>
  <cp:lastPrinted>2018-08-27T04:58:00Z</cp:lastPrinted>
  <dcterms:created xsi:type="dcterms:W3CDTF">2018-08-27T05:12:00Z</dcterms:created>
  <dcterms:modified xsi:type="dcterms:W3CDTF">2018-12-19T02:08:00Z</dcterms:modified>
</cp:coreProperties>
</file>